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E354" w14:textId="457C2A3A" w:rsidR="00416612" w:rsidRPr="00322B46"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3GPP TSG-RAN WG2 Meeting #12</w:t>
      </w:r>
      <w:r w:rsidR="000F1560">
        <w:rPr>
          <w:rFonts w:eastAsia="PMingLiU"/>
          <w:b/>
          <w:sz w:val="24"/>
          <w:szCs w:val="24"/>
          <w:lang w:eastAsia="zh-TW"/>
        </w:rPr>
        <w:t>2</w:t>
      </w:r>
      <w:r w:rsidRPr="00322B46">
        <w:rPr>
          <w:rFonts w:eastAsia="PMingLiU"/>
          <w:b/>
          <w:sz w:val="24"/>
          <w:szCs w:val="24"/>
          <w:lang w:eastAsia="zh-TW"/>
        </w:rPr>
        <w:tab/>
      </w:r>
      <w:r w:rsidR="00303D3B">
        <w:rPr>
          <w:rFonts w:eastAsia="PMingLiU"/>
          <w:b/>
          <w:sz w:val="24"/>
          <w:szCs w:val="24"/>
          <w:lang w:eastAsia="zh-TW"/>
        </w:rPr>
        <w:t xml:space="preserve">      </w:t>
      </w:r>
      <w:r w:rsidR="00FF78C9" w:rsidRPr="00FF78C9">
        <w:rPr>
          <w:rFonts w:eastAsia="PMingLiU"/>
          <w:b/>
          <w:sz w:val="24"/>
          <w:szCs w:val="24"/>
          <w:lang w:eastAsia="zh-TW"/>
        </w:rPr>
        <w:t>R2-2305538</w:t>
      </w:r>
    </w:p>
    <w:p w14:paraId="2F7D0DB8" w14:textId="3F2B8F99" w:rsidR="00416612" w:rsidRPr="00322B46" w:rsidRDefault="00A06301"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Pr>
          <w:rFonts w:eastAsia="PMingLiU"/>
          <w:b/>
          <w:sz w:val="24"/>
          <w:szCs w:val="24"/>
          <w:lang w:eastAsia="zh-TW"/>
        </w:rPr>
        <w:t xml:space="preserve">Incheon, Korea, </w:t>
      </w:r>
      <w:r w:rsidR="000F1560">
        <w:rPr>
          <w:rFonts w:eastAsia="PMingLiU"/>
          <w:b/>
          <w:sz w:val="24"/>
          <w:szCs w:val="24"/>
          <w:lang w:eastAsia="zh-TW"/>
        </w:rPr>
        <w:t>May</w:t>
      </w:r>
      <w:r w:rsidR="00073E7F">
        <w:rPr>
          <w:rFonts w:eastAsia="PMingLiU"/>
          <w:b/>
          <w:sz w:val="24"/>
          <w:szCs w:val="24"/>
          <w:lang w:eastAsia="zh-TW"/>
        </w:rPr>
        <w:t xml:space="preserve"> </w:t>
      </w:r>
      <w:r w:rsidR="000F1560">
        <w:rPr>
          <w:rFonts w:eastAsia="PMingLiU"/>
          <w:b/>
          <w:sz w:val="24"/>
          <w:szCs w:val="24"/>
          <w:lang w:eastAsia="zh-TW"/>
        </w:rPr>
        <w:t>22</w:t>
      </w:r>
      <w:r w:rsidR="00073E7F">
        <w:rPr>
          <w:rFonts w:eastAsia="PMingLiU"/>
          <w:b/>
          <w:sz w:val="24"/>
          <w:szCs w:val="24"/>
          <w:lang w:eastAsia="zh-TW"/>
        </w:rPr>
        <w:t>-26,</w:t>
      </w:r>
      <w:r w:rsidR="00416612" w:rsidRPr="00322B46">
        <w:rPr>
          <w:rFonts w:eastAsia="PMingLiU"/>
          <w:b/>
          <w:sz w:val="24"/>
          <w:szCs w:val="24"/>
          <w:lang w:eastAsia="zh-TW"/>
        </w:rPr>
        <w:t xml:space="preserve"> 2023</w:t>
      </w:r>
    </w:p>
    <w:p w14:paraId="6B841D97" w14:textId="77777777" w:rsidR="00416612" w:rsidRDefault="00416612" w:rsidP="00416612">
      <w:pPr>
        <w:widowControl w:val="0"/>
        <w:pBdr>
          <w:top w:val="nil"/>
          <w:left w:val="nil"/>
          <w:bottom w:val="nil"/>
          <w:right w:val="nil"/>
          <w:between w:val="nil"/>
        </w:pBdr>
        <w:tabs>
          <w:tab w:val="right" w:pos="10206"/>
        </w:tabs>
        <w:spacing w:after="0" w:line="360" w:lineRule="auto"/>
        <w:rPr>
          <w:color w:val="000000"/>
          <w:sz w:val="24"/>
          <w:szCs w:val="24"/>
        </w:rPr>
      </w:pPr>
    </w:p>
    <w:p w14:paraId="46700A37" w14:textId="2A6B1004" w:rsidR="00416612" w:rsidRDefault="00416612" w:rsidP="00416612">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r>
      <w:r w:rsidR="00073E7F">
        <w:rPr>
          <w:b/>
          <w:sz w:val="24"/>
          <w:szCs w:val="24"/>
        </w:rPr>
        <w:t>7</w:t>
      </w:r>
      <w:r>
        <w:rPr>
          <w:b/>
          <w:sz w:val="24"/>
          <w:szCs w:val="24"/>
        </w:rPr>
        <w:t>.5.</w:t>
      </w:r>
      <w:r w:rsidR="000F0ED3">
        <w:rPr>
          <w:b/>
          <w:sz w:val="24"/>
          <w:szCs w:val="24"/>
        </w:rPr>
        <w:t>4</w:t>
      </w:r>
      <w:r w:rsidR="00073E7F">
        <w:rPr>
          <w:b/>
          <w:sz w:val="24"/>
          <w:szCs w:val="24"/>
        </w:rPr>
        <w:t>.3</w:t>
      </w:r>
    </w:p>
    <w:p w14:paraId="5344AA3C" w14:textId="3481A740" w:rsidR="00416612" w:rsidRDefault="00416612" w:rsidP="00416612">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r>
      <w:r w:rsidR="000F1560">
        <w:rPr>
          <w:b/>
          <w:sz w:val="24"/>
          <w:szCs w:val="24"/>
        </w:rPr>
        <w:t xml:space="preserve">On </w:t>
      </w:r>
      <w:r w:rsidR="00073E7F" w:rsidRPr="00073E7F">
        <w:rPr>
          <w:b/>
          <w:sz w:val="24"/>
          <w:szCs w:val="24"/>
        </w:rPr>
        <w:t>Configured Grant enhancements for XR</w:t>
      </w:r>
    </w:p>
    <w:p w14:paraId="0C4399DD" w14:textId="77777777" w:rsidR="00416612" w:rsidRDefault="00416612" w:rsidP="00416612">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14:paraId="18727380" w14:textId="117E741B" w:rsidR="00416612" w:rsidRDefault="00416612" w:rsidP="00416612">
      <w:pPr>
        <w:tabs>
          <w:tab w:val="left" w:pos="1985"/>
        </w:tabs>
        <w:rPr>
          <w:b/>
          <w:sz w:val="24"/>
          <w:szCs w:val="24"/>
        </w:rPr>
      </w:pPr>
      <w:r>
        <w:rPr>
          <w:b/>
          <w:sz w:val="24"/>
          <w:szCs w:val="24"/>
        </w:rPr>
        <w:t>Document for</w:t>
      </w:r>
      <w:r>
        <w:rPr>
          <w:b/>
          <w:sz w:val="24"/>
          <w:szCs w:val="24"/>
        </w:rPr>
        <w:tab/>
        <w:t>:</w:t>
      </w:r>
      <w:r>
        <w:rPr>
          <w:b/>
          <w:sz w:val="24"/>
          <w:szCs w:val="24"/>
        </w:rPr>
        <w:tab/>
        <w:t>Discussion and Decision</w:t>
      </w:r>
    </w:p>
    <w:p w14:paraId="51A48D06" w14:textId="77777777" w:rsidR="000F0ED3"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072936" w:rsidRDefault="000F0ED3" w:rsidP="00692C2F">
      <w:pPr>
        <w:pStyle w:val="Heading1"/>
        <w:numPr>
          <w:ilvl w:val="0"/>
          <w:numId w:val="26"/>
        </w:numPr>
        <w:jc w:val="both"/>
      </w:pPr>
      <w:r w:rsidRPr="00072936">
        <w:rPr>
          <w:rFonts w:hint="eastAsia"/>
        </w:rPr>
        <w:t>Introduction</w:t>
      </w:r>
    </w:p>
    <w:p w14:paraId="41D83200" w14:textId="052B09E7" w:rsidR="000F0ED3" w:rsidRDefault="000F0ED3" w:rsidP="000F0ED3">
      <w:pPr>
        <w:jc w:val="both"/>
        <w:rPr>
          <w:bCs/>
          <w:sz w:val="24"/>
          <w:szCs w:val="24"/>
          <w:lang w:eastAsia="zh-CN"/>
        </w:rPr>
      </w:pPr>
      <w:r w:rsidRPr="000C191B">
        <w:rPr>
          <w:rFonts w:eastAsia="SimSun"/>
          <w:sz w:val="24"/>
          <w:szCs w:val="24"/>
          <w:lang w:val="en-US" w:eastAsia="ja-JP"/>
        </w:rPr>
        <w:t xml:space="preserve">A new Rel-18 Work Item for XR enhancements in NR has been approved in RAN#98-e </w:t>
      </w:r>
      <w:r w:rsidRPr="000C191B">
        <w:rPr>
          <w:rFonts w:eastAsia="SimSun"/>
          <w:sz w:val="24"/>
          <w:szCs w:val="24"/>
          <w:lang w:val="en-US" w:eastAsia="ja-JP"/>
        </w:rPr>
        <w:fldChar w:fldCharType="begin"/>
      </w:r>
      <w:r w:rsidRPr="000C191B">
        <w:rPr>
          <w:rFonts w:eastAsia="SimSun"/>
          <w:sz w:val="24"/>
          <w:szCs w:val="24"/>
          <w:lang w:val="en-US" w:eastAsia="ja-JP"/>
        </w:rPr>
        <w:instrText xml:space="preserve"> REF _Ref125548390 \r \h </w:instrText>
      </w:r>
      <w:r>
        <w:rPr>
          <w:rFonts w:eastAsia="SimSun"/>
          <w:sz w:val="24"/>
          <w:szCs w:val="24"/>
          <w:lang w:val="en-US" w:eastAsia="ja-JP"/>
        </w:rPr>
        <w:instrText xml:space="preserve"> \* MERGEFORMAT </w:instrText>
      </w:r>
      <w:r w:rsidRPr="000C191B">
        <w:rPr>
          <w:rFonts w:eastAsia="SimSun"/>
          <w:sz w:val="24"/>
          <w:szCs w:val="24"/>
          <w:lang w:val="en-US" w:eastAsia="ja-JP"/>
        </w:rPr>
      </w:r>
      <w:r w:rsidRPr="000C191B">
        <w:rPr>
          <w:rFonts w:eastAsia="SimSun"/>
          <w:sz w:val="24"/>
          <w:szCs w:val="24"/>
          <w:lang w:val="en-US" w:eastAsia="ja-JP"/>
        </w:rPr>
        <w:fldChar w:fldCharType="separate"/>
      </w:r>
      <w:r w:rsidRPr="000C191B">
        <w:rPr>
          <w:rFonts w:eastAsia="SimSun"/>
          <w:sz w:val="24"/>
          <w:szCs w:val="24"/>
          <w:lang w:val="en-US" w:eastAsia="ja-JP"/>
        </w:rPr>
        <w:t>[1]</w:t>
      </w:r>
      <w:r w:rsidRPr="000C191B">
        <w:rPr>
          <w:rFonts w:eastAsia="SimSun"/>
          <w:sz w:val="24"/>
          <w:szCs w:val="24"/>
          <w:lang w:val="en-US" w:eastAsia="ja-JP"/>
        </w:rPr>
        <w:fldChar w:fldCharType="end"/>
      </w:r>
      <w:r w:rsidRPr="000C191B">
        <w:rPr>
          <w:bCs/>
          <w:sz w:val="24"/>
          <w:szCs w:val="24"/>
          <w:lang w:eastAsia="zh-CN"/>
        </w:rPr>
        <w:t xml:space="preserve">. </w:t>
      </w:r>
      <w:r w:rsidR="00692C2F">
        <w:rPr>
          <w:bCs/>
          <w:sz w:val="24"/>
          <w:szCs w:val="24"/>
          <w:lang w:eastAsia="zh-CN"/>
        </w:rPr>
        <w:t>Multiple</w:t>
      </w:r>
      <w:r w:rsidRPr="000C191B">
        <w:rPr>
          <w:bCs/>
          <w:sz w:val="24"/>
          <w:szCs w:val="24"/>
          <w:lang w:eastAsia="zh-CN"/>
        </w:rPr>
        <w:t xml:space="preserve"> enhancements related to the system capacity are to be specified in RAN1</w:t>
      </w:r>
      <w:r w:rsidR="00692C2F">
        <w:rPr>
          <w:bCs/>
          <w:sz w:val="24"/>
          <w:szCs w:val="24"/>
          <w:lang w:eastAsia="zh-CN"/>
        </w:rPr>
        <w:t xml:space="preserve"> and RAN2 including</w:t>
      </w:r>
      <w:r w:rsidRPr="000C191B">
        <w:rPr>
          <w:bCs/>
          <w:sz w:val="24"/>
          <w:szCs w:val="24"/>
          <w:lang w:eastAsia="zh-CN"/>
        </w:rPr>
        <w:t xml:space="preserve"> </w:t>
      </w:r>
      <w:r w:rsidRPr="000C191B">
        <w:rPr>
          <w:bCs/>
          <w:sz w:val="24"/>
          <w:szCs w:val="24"/>
          <w:lang w:eastAsia="zh-CN"/>
        </w:rPr>
        <w:fldChar w:fldCharType="begin"/>
      </w:r>
      <w:r w:rsidRPr="000C191B">
        <w:rPr>
          <w:bCs/>
          <w:sz w:val="24"/>
          <w:szCs w:val="24"/>
          <w:lang w:eastAsia="zh-CN"/>
        </w:rPr>
        <w:instrText xml:space="preserve"> REF _Ref125548390 \r \h </w:instrText>
      </w:r>
      <w:r>
        <w:rPr>
          <w:bCs/>
          <w:sz w:val="24"/>
          <w:szCs w:val="24"/>
          <w:lang w:eastAsia="zh-CN"/>
        </w:rPr>
        <w:instrText xml:space="preserve"> \* MERGEFORMAT </w:instrText>
      </w:r>
      <w:r w:rsidRPr="000C191B">
        <w:rPr>
          <w:bCs/>
          <w:sz w:val="24"/>
          <w:szCs w:val="24"/>
          <w:lang w:eastAsia="zh-CN"/>
        </w:rPr>
      </w:r>
      <w:r w:rsidRPr="000C191B">
        <w:rPr>
          <w:bCs/>
          <w:sz w:val="24"/>
          <w:szCs w:val="24"/>
          <w:lang w:eastAsia="zh-CN"/>
        </w:rPr>
        <w:fldChar w:fldCharType="separate"/>
      </w:r>
      <w:r w:rsidRPr="000C191B">
        <w:rPr>
          <w:bCs/>
          <w:sz w:val="24"/>
          <w:szCs w:val="24"/>
          <w:lang w:eastAsia="zh-CN"/>
        </w:rPr>
        <w:t>[1]</w:t>
      </w:r>
      <w:r w:rsidRPr="000C191B">
        <w:rPr>
          <w:bCs/>
          <w:sz w:val="24"/>
          <w:szCs w:val="24"/>
          <w:lang w:eastAsia="zh-CN"/>
        </w:rPr>
        <w:fldChar w:fldCharType="end"/>
      </w:r>
      <w:r w:rsidRPr="000C191B">
        <w:rPr>
          <w:bCs/>
          <w:sz w:val="24"/>
          <w:szCs w:val="24"/>
          <w:lang w:eastAsia="zh-CN"/>
        </w:rPr>
        <w:t>:</w:t>
      </w:r>
    </w:p>
    <w:p w14:paraId="1E02F288" w14:textId="07C0DFC0" w:rsidR="000F0ED3" w:rsidRPr="00CD0148" w:rsidRDefault="000F0ED3" w:rsidP="000F0ED3">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 xml:space="preserve">Multiple CG PUSCH transmission occasions in a period of a single CG PUSCH configuration </w:t>
      </w:r>
    </w:p>
    <w:p w14:paraId="18FA4C3E" w14:textId="467EC10D" w:rsidR="00692C2F" w:rsidRDefault="000F0ED3" w:rsidP="00692C2F">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Dynamic indication of unused CG PUSCH occasion(s) based on UCI by the UE</w:t>
      </w:r>
    </w:p>
    <w:p w14:paraId="2EE7BEF1" w14:textId="6BAE5D82" w:rsidR="000F0ED3" w:rsidRPr="00EE036A" w:rsidRDefault="000F0ED3" w:rsidP="000F0ED3">
      <w:pPr>
        <w:jc w:val="both"/>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w:t>
      </w:r>
      <w:r>
        <w:rPr>
          <w:rFonts w:eastAsia="SimSun"/>
          <w:sz w:val="24"/>
          <w:szCs w:val="24"/>
          <w:lang w:val="en-US" w:eastAsia="ja-JP"/>
        </w:rPr>
        <w:t>propose some techniques to specify the enhancements above</w:t>
      </w:r>
      <w:r w:rsidR="007B3F85">
        <w:rPr>
          <w:rFonts w:eastAsia="SimSun"/>
          <w:sz w:val="24"/>
          <w:szCs w:val="24"/>
          <w:lang w:val="en-US" w:eastAsia="ja-JP"/>
        </w:rPr>
        <w:t xml:space="preserve"> and we share our views </w:t>
      </w:r>
      <w:r w:rsidR="001C511D">
        <w:rPr>
          <w:rFonts w:eastAsia="SimSun"/>
          <w:sz w:val="24"/>
          <w:szCs w:val="24"/>
          <w:lang w:val="en-US" w:eastAsia="ja-JP"/>
        </w:rPr>
        <w:t>on</w:t>
      </w:r>
      <w:r w:rsidR="007B3F85">
        <w:rPr>
          <w:rFonts w:eastAsia="SimSun"/>
          <w:sz w:val="24"/>
          <w:szCs w:val="24"/>
          <w:lang w:val="en-US" w:eastAsia="ja-JP"/>
        </w:rPr>
        <w:t xml:space="preserve"> the retransmission-less CG.</w:t>
      </w:r>
    </w:p>
    <w:p w14:paraId="0B94E81D" w14:textId="77777777" w:rsidR="000F0ED3" w:rsidRDefault="000F0ED3" w:rsidP="000F0ED3">
      <w:pPr>
        <w:rPr>
          <w:rFonts w:eastAsia="SimSun"/>
          <w:lang w:val="en-US" w:eastAsia="ja-JP"/>
        </w:rPr>
      </w:pPr>
    </w:p>
    <w:p w14:paraId="6A995BBA" w14:textId="77777777" w:rsidR="000F0ED3" w:rsidRPr="005A3B77" w:rsidRDefault="000F0ED3" w:rsidP="00692C2F">
      <w:pPr>
        <w:pStyle w:val="Heading1"/>
        <w:numPr>
          <w:ilvl w:val="0"/>
          <w:numId w:val="26"/>
        </w:numPr>
        <w:jc w:val="both"/>
      </w:pPr>
      <w:r w:rsidRPr="005A3B77">
        <w:t>Multiple CG PUSCH transmission occasions</w:t>
      </w:r>
    </w:p>
    <w:p w14:paraId="1860DB72" w14:textId="77777777" w:rsidR="000F0ED3" w:rsidRDefault="000F0ED3" w:rsidP="000F0ED3">
      <w:pPr>
        <w:jc w:val="both"/>
        <w:rPr>
          <w:sz w:val="24"/>
          <w:szCs w:val="24"/>
        </w:rPr>
      </w:pPr>
      <w:r>
        <w:rPr>
          <w:sz w:val="24"/>
          <w:szCs w:val="24"/>
        </w:rPr>
        <w:t>The support of multiple PUSCH occasions in a CG period is beneficial to reduce latency for XR and improve performance.</w:t>
      </w:r>
    </w:p>
    <w:p w14:paraId="56CF54F7" w14:textId="7DA2F213" w:rsidR="000F0ED3" w:rsidRDefault="000F0ED3" w:rsidP="000F0ED3">
      <w:pPr>
        <w:jc w:val="both"/>
        <w:rPr>
          <w:sz w:val="24"/>
          <w:szCs w:val="24"/>
        </w:rPr>
      </w:pPr>
      <w:r w:rsidRPr="005A3B77">
        <w:rPr>
          <w:sz w:val="24"/>
          <w:szCs w:val="24"/>
        </w:rPr>
        <w:t>R</w:t>
      </w:r>
      <w:r>
        <w:rPr>
          <w:sz w:val="24"/>
          <w:szCs w:val="24"/>
        </w:rPr>
        <w:t>el-</w:t>
      </w:r>
      <w:r w:rsidRPr="005A3B77">
        <w:rPr>
          <w:sz w:val="24"/>
          <w:szCs w:val="24"/>
        </w:rPr>
        <w:t>16 NR-U</w:t>
      </w:r>
      <w:r>
        <w:rPr>
          <w:sz w:val="24"/>
          <w:szCs w:val="24"/>
        </w:rPr>
        <w:t xml:space="preserve"> specification includes the use of CG with multiple CG PUSCH occasions within a period. The Rel-16 NR-U feature should be considered the </w:t>
      </w:r>
      <w:r w:rsidR="005C3B38">
        <w:rPr>
          <w:sz w:val="24"/>
          <w:szCs w:val="24"/>
        </w:rPr>
        <w:t>baseline</w:t>
      </w:r>
      <w:r>
        <w:rPr>
          <w:sz w:val="24"/>
          <w:szCs w:val="24"/>
        </w:rPr>
        <w:t xml:space="preserve"> for this XR enhancement in Rel-18. </w:t>
      </w:r>
    </w:p>
    <w:p w14:paraId="6AFB7C8B" w14:textId="77777777" w:rsidR="000F0ED3" w:rsidRDefault="000F0ED3" w:rsidP="000F0ED3">
      <w:pPr>
        <w:jc w:val="both"/>
        <w:rPr>
          <w:sz w:val="24"/>
          <w:szCs w:val="24"/>
        </w:rPr>
      </w:pPr>
      <w:r>
        <w:rPr>
          <w:sz w:val="24"/>
          <w:szCs w:val="24"/>
        </w:rPr>
        <w:t>The</w:t>
      </w:r>
      <w:r w:rsidRPr="00202AE0">
        <w:rPr>
          <w:sz w:val="24"/>
          <w:szCs w:val="24"/>
        </w:rPr>
        <w:t xml:space="preserve"> </w:t>
      </w:r>
      <w:r>
        <w:rPr>
          <w:sz w:val="24"/>
          <w:szCs w:val="24"/>
        </w:rPr>
        <w:t>current</w:t>
      </w:r>
      <w:r w:rsidRPr="00202AE0">
        <w:rPr>
          <w:sz w:val="24"/>
          <w:szCs w:val="24"/>
        </w:rPr>
        <w:t xml:space="preserve"> parameters </w:t>
      </w:r>
      <w:r w:rsidRPr="00202AE0">
        <w:rPr>
          <w:i/>
          <w:iCs/>
          <w:sz w:val="24"/>
          <w:szCs w:val="24"/>
        </w:rPr>
        <w:t xml:space="preserve">cg-nrofPUSCH-InSlot </w:t>
      </w:r>
      <w:r w:rsidRPr="00202AE0">
        <w:rPr>
          <w:sz w:val="24"/>
          <w:szCs w:val="24"/>
        </w:rPr>
        <w:t xml:space="preserve">and </w:t>
      </w:r>
      <w:r w:rsidRPr="00202AE0">
        <w:rPr>
          <w:i/>
          <w:iCs/>
          <w:sz w:val="24"/>
          <w:szCs w:val="24"/>
        </w:rPr>
        <w:t xml:space="preserve">cg-nrofSlots </w:t>
      </w:r>
      <w:r w:rsidRPr="00202AE0">
        <w:rPr>
          <w:sz w:val="24"/>
          <w:szCs w:val="24"/>
        </w:rPr>
        <w:t xml:space="preserve">of the RRC parameter structure   </w:t>
      </w:r>
      <w:r w:rsidRPr="00202AE0">
        <w:rPr>
          <w:i/>
          <w:iCs/>
          <w:sz w:val="24"/>
          <w:szCs w:val="24"/>
        </w:rPr>
        <w:t>ConfiguredGrantConfig</w:t>
      </w:r>
      <w:r w:rsidRPr="00202AE0">
        <w:rPr>
          <w:sz w:val="24"/>
          <w:szCs w:val="24"/>
        </w:rPr>
        <w:t xml:space="preserve"> defined in </w:t>
      </w:r>
      <w:r w:rsidRPr="007D49F1">
        <w:rPr>
          <w:sz w:val="24"/>
          <w:szCs w:val="24"/>
        </w:rPr>
        <w:fldChar w:fldCharType="begin"/>
      </w:r>
      <w:r w:rsidRPr="007D49F1">
        <w:rPr>
          <w:sz w:val="24"/>
          <w:szCs w:val="24"/>
        </w:rPr>
        <w:instrText xml:space="preserve"> STYLEREF ZA </w:instrText>
      </w:r>
      <w:r w:rsidRPr="007D49F1">
        <w:rPr>
          <w:sz w:val="24"/>
          <w:szCs w:val="24"/>
        </w:rPr>
        <w:fldChar w:fldCharType="separate"/>
      </w:r>
      <w:r w:rsidRPr="007D49F1">
        <w:rPr>
          <w:sz w:val="24"/>
          <w:szCs w:val="24"/>
        </w:rPr>
        <w:t xml:space="preserve">3GPP TS 38.331 </w:t>
      </w:r>
      <w:r w:rsidRPr="007D49F1">
        <w:rPr>
          <w:sz w:val="24"/>
          <w:szCs w:val="24"/>
        </w:rPr>
        <w:fldChar w:fldCharType="end"/>
      </w:r>
      <w:r w:rsidRPr="00202AE0">
        <w:rPr>
          <w:sz w:val="24"/>
          <w:szCs w:val="24"/>
        </w:rPr>
        <w:t xml:space="preserve">could be </w:t>
      </w:r>
      <w:r>
        <w:rPr>
          <w:sz w:val="24"/>
          <w:szCs w:val="24"/>
        </w:rPr>
        <w:t>re-utilized</w:t>
      </w:r>
      <w:r w:rsidRPr="00202AE0">
        <w:rPr>
          <w:sz w:val="24"/>
          <w:szCs w:val="24"/>
        </w:rPr>
        <w:t xml:space="preserve"> to configure multiple PUSCH transmission occasions per CG period on licensed spectrum</w:t>
      </w:r>
      <w:r>
        <w:rPr>
          <w:sz w:val="24"/>
          <w:szCs w:val="24"/>
        </w:rPr>
        <w:t xml:space="preserve"> for XR,</w:t>
      </w:r>
      <w:r w:rsidRPr="00202AE0">
        <w:rPr>
          <w:sz w:val="24"/>
          <w:szCs w:val="24"/>
        </w:rPr>
        <w:t xml:space="preserve"> as </w:t>
      </w:r>
      <w:r>
        <w:rPr>
          <w:sz w:val="24"/>
          <w:szCs w:val="24"/>
        </w:rPr>
        <w:t>these parameters</w:t>
      </w:r>
      <w:r w:rsidRPr="00202AE0">
        <w:rPr>
          <w:sz w:val="24"/>
          <w:szCs w:val="24"/>
        </w:rPr>
        <w:t xml:space="preserve"> are currently </w:t>
      </w:r>
      <w:r>
        <w:rPr>
          <w:sz w:val="24"/>
          <w:szCs w:val="24"/>
        </w:rPr>
        <w:t xml:space="preserve">only </w:t>
      </w:r>
      <w:r w:rsidRPr="00202AE0">
        <w:rPr>
          <w:sz w:val="24"/>
          <w:szCs w:val="24"/>
        </w:rPr>
        <w:t xml:space="preserve">supported </w:t>
      </w:r>
      <w:r>
        <w:rPr>
          <w:sz w:val="24"/>
          <w:szCs w:val="24"/>
        </w:rPr>
        <w:t>for</w:t>
      </w:r>
      <w:r w:rsidRPr="00202AE0">
        <w:rPr>
          <w:sz w:val="24"/>
          <w:szCs w:val="24"/>
        </w:rPr>
        <w:t xml:space="preserve"> unlicensed spectrum operation when the RRC parameter </w:t>
      </w:r>
      <w:r w:rsidRPr="000C191B">
        <w:rPr>
          <w:i/>
          <w:iCs/>
          <w:sz w:val="24"/>
          <w:szCs w:val="24"/>
        </w:rPr>
        <w:t xml:space="preserve">cg-RetransmissionTimer </w:t>
      </w:r>
      <w:r w:rsidRPr="00202AE0">
        <w:rPr>
          <w:sz w:val="24"/>
          <w:szCs w:val="24"/>
        </w:rPr>
        <w:t>is configured</w:t>
      </w:r>
      <w:r>
        <w:rPr>
          <w:sz w:val="24"/>
          <w:szCs w:val="24"/>
        </w:rPr>
        <w:t xml:space="preserve">. </w:t>
      </w:r>
      <w:r w:rsidRPr="00202AE0">
        <w:rPr>
          <w:sz w:val="24"/>
          <w:szCs w:val="24"/>
        </w:rPr>
        <w:t xml:space="preserve">Hence, the current restriction that the network can only configure these fields if </w:t>
      </w:r>
      <w:r w:rsidRPr="00202AE0">
        <w:rPr>
          <w:i/>
          <w:iCs/>
          <w:sz w:val="24"/>
          <w:szCs w:val="24"/>
        </w:rPr>
        <w:t>cg-RetransmissionTimer</w:t>
      </w:r>
      <w:r w:rsidRPr="00202AE0">
        <w:rPr>
          <w:sz w:val="24"/>
          <w:szCs w:val="24"/>
        </w:rPr>
        <w:t xml:space="preserve"> is configured can be relaxed for the XR traffic.</w:t>
      </w:r>
    </w:p>
    <w:p w14:paraId="4CE5C127" w14:textId="77777777" w:rsidR="000F0ED3" w:rsidRPr="00646ED1" w:rsidRDefault="000F0ED3" w:rsidP="000F0ED3">
      <w:pPr>
        <w:jc w:val="both"/>
        <w:rPr>
          <w:color w:val="000000" w:themeColor="text1"/>
          <w:lang w:eastAsia="zh-CN"/>
        </w:rPr>
      </w:pPr>
      <w:r>
        <w:rPr>
          <w:sz w:val="24"/>
          <w:szCs w:val="24"/>
        </w:rPr>
        <w:t xml:space="preserve">As captured in TS 38.214 clause 6.1.2.3, </w:t>
      </w:r>
      <w:r>
        <w:rPr>
          <w:color w:val="000000" w:themeColor="text1"/>
          <w:sz w:val="24"/>
          <w:szCs w:val="24"/>
          <w:lang w:eastAsia="zh-CN"/>
        </w:rPr>
        <w:t>the</w:t>
      </w:r>
      <w:r w:rsidRPr="001A7652">
        <w:rPr>
          <w:color w:val="000000" w:themeColor="text1"/>
          <w:sz w:val="24"/>
          <w:szCs w:val="24"/>
          <w:lang w:eastAsia="zh-CN"/>
        </w:rPr>
        <w:t xml:space="preserve"> higher layer parameter </w:t>
      </w:r>
      <w:r w:rsidRPr="001A7652">
        <w:rPr>
          <w:i/>
          <w:color w:val="000000" w:themeColor="text1"/>
          <w:sz w:val="24"/>
          <w:szCs w:val="24"/>
          <w:lang w:eastAsia="zh-CN"/>
        </w:rPr>
        <w:t>cg-nrofSlots</w:t>
      </w:r>
      <w:r>
        <w:rPr>
          <w:i/>
          <w:color w:val="000000" w:themeColor="text1"/>
          <w:sz w:val="24"/>
          <w:szCs w:val="24"/>
          <w:lang w:eastAsia="zh-CN"/>
        </w:rPr>
        <w:t xml:space="preserve"> </w:t>
      </w:r>
      <w:r w:rsidRPr="005B4D2F">
        <w:rPr>
          <w:color w:val="000000" w:themeColor="text1"/>
          <w:sz w:val="24"/>
          <w:szCs w:val="24"/>
          <w:lang w:eastAsia="zh-CN"/>
        </w:rPr>
        <w:t xml:space="preserve">determines the number </w:t>
      </w:r>
      <w:r>
        <w:rPr>
          <w:color w:val="000000" w:themeColor="text1"/>
          <w:sz w:val="24"/>
          <w:szCs w:val="24"/>
          <w:lang w:eastAsia="zh-CN"/>
        </w:rPr>
        <w:t xml:space="preserve">of consecutive slots allocated within a given CG period. The </w:t>
      </w:r>
      <w:r w:rsidRPr="001A7652">
        <w:rPr>
          <w:i/>
          <w:color w:val="000000" w:themeColor="text1"/>
          <w:sz w:val="24"/>
          <w:szCs w:val="24"/>
          <w:lang w:eastAsia="zh-CN"/>
        </w:rPr>
        <w:t>cg-nrofPUSCH-InSlot</w:t>
      </w:r>
      <w:r w:rsidRPr="001A7652">
        <w:rPr>
          <w:color w:val="000000" w:themeColor="text1"/>
          <w:sz w:val="24"/>
          <w:szCs w:val="24"/>
          <w:lang w:eastAsia="zh-CN"/>
        </w:rPr>
        <w:t xml:space="preserve"> </w:t>
      </w:r>
      <w:r>
        <w:rPr>
          <w:color w:val="000000" w:themeColor="text1"/>
          <w:sz w:val="24"/>
          <w:szCs w:val="24"/>
          <w:lang w:eastAsia="zh-CN"/>
        </w:rPr>
        <w:t xml:space="preserve">parameter configures the number of consecutive PUSCH allocations within each slot. The first allocation follows the </w:t>
      </w:r>
      <w:r w:rsidRPr="001A7652">
        <w:rPr>
          <w:color w:val="000000" w:themeColor="text1"/>
          <w:sz w:val="24"/>
          <w:szCs w:val="24"/>
          <w:lang w:eastAsia="zh-CN"/>
        </w:rPr>
        <w:t xml:space="preserve">higher layer parameter </w:t>
      </w:r>
      <w:r w:rsidRPr="001A7652">
        <w:rPr>
          <w:i/>
          <w:color w:val="000000" w:themeColor="text1"/>
          <w:sz w:val="24"/>
          <w:szCs w:val="24"/>
          <w:lang w:eastAsia="zh-CN"/>
        </w:rPr>
        <w:t>timeDomainAllocation</w:t>
      </w:r>
      <w:r w:rsidRPr="005B4D2F">
        <w:rPr>
          <w:color w:val="000000" w:themeColor="text1"/>
          <w:sz w:val="24"/>
          <w:szCs w:val="24"/>
          <w:lang w:eastAsia="zh-CN"/>
        </w:rPr>
        <w:t xml:space="preserve"> </w:t>
      </w:r>
      <w:r w:rsidRPr="001A7652">
        <w:rPr>
          <w:color w:val="000000" w:themeColor="text1"/>
          <w:sz w:val="24"/>
          <w:szCs w:val="24"/>
          <w:lang w:eastAsia="zh-CN"/>
        </w:rPr>
        <w:t xml:space="preserve">for Type 1 PUSCH transmission or </w:t>
      </w:r>
      <w:r w:rsidRPr="001A7652">
        <w:rPr>
          <w:color w:val="000000" w:themeColor="text1"/>
          <w:sz w:val="24"/>
          <w:szCs w:val="24"/>
        </w:rPr>
        <w:t>the higher layer configuration according to [10, TS 38.321], and UL grant received on the DCI for Type 2 PUSCH transmissions</w:t>
      </w:r>
      <w:r>
        <w:rPr>
          <w:color w:val="000000" w:themeColor="text1"/>
          <w:sz w:val="24"/>
          <w:szCs w:val="24"/>
        </w:rPr>
        <w:t xml:space="preserve">. Subsequent allocations have the same </w:t>
      </w:r>
      <w:r>
        <w:rPr>
          <w:color w:val="000000" w:themeColor="text1"/>
          <w:sz w:val="24"/>
          <w:szCs w:val="24"/>
        </w:rPr>
        <w:lastRenderedPageBreak/>
        <w:t xml:space="preserve">length, PUSCH mapping type and are appended without gaps. </w:t>
      </w:r>
      <w:r w:rsidRPr="001A7652">
        <w:rPr>
          <w:color w:val="000000" w:themeColor="text1"/>
          <w:sz w:val="24"/>
          <w:szCs w:val="24"/>
          <w:lang w:eastAsia="zh-CN"/>
        </w:rPr>
        <w:t>The same combination of start symbol</w:t>
      </w:r>
      <w:r>
        <w:rPr>
          <w:color w:val="000000" w:themeColor="text1"/>
          <w:sz w:val="24"/>
          <w:szCs w:val="24"/>
          <w:lang w:eastAsia="zh-CN"/>
        </w:rPr>
        <w:t xml:space="preserve">, </w:t>
      </w:r>
      <w:r w:rsidRPr="001A7652">
        <w:rPr>
          <w:color w:val="000000" w:themeColor="text1"/>
          <w:sz w:val="24"/>
          <w:szCs w:val="24"/>
          <w:lang w:eastAsia="zh-CN"/>
        </w:rPr>
        <w:t>length and PUSCH mapping type repeats over the consecutively allocated slots.</w:t>
      </w:r>
    </w:p>
    <w:p w14:paraId="252FDB4C" w14:textId="77777777" w:rsidR="000F0ED3" w:rsidRDefault="000F0ED3" w:rsidP="000F0ED3">
      <w:pPr>
        <w:jc w:val="both"/>
        <w:rPr>
          <w:sz w:val="24"/>
          <w:szCs w:val="24"/>
        </w:rPr>
      </w:pPr>
      <w:r>
        <w:rPr>
          <w:sz w:val="24"/>
          <w:szCs w:val="24"/>
        </w:rPr>
        <w:t xml:space="preserve">The </w:t>
      </w:r>
      <w:r w:rsidRPr="005A3B77">
        <w:rPr>
          <w:sz w:val="24"/>
          <w:szCs w:val="24"/>
        </w:rPr>
        <w:t>R</w:t>
      </w:r>
      <w:r>
        <w:rPr>
          <w:sz w:val="24"/>
          <w:szCs w:val="24"/>
        </w:rPr>
        <w:t>el-</w:t>
      </w:r>
      <w:r w:rsidRPr="005A3B77">
        <w:rPr>
          <w:sz w:val="24"/>
          <w:szCs w:val="24"/>
        </w:rPr>
        <w:t>16 NR-U</w:t>
      </w:r>
      <w:r>
        <w:rPr>
          <w:sz w:val="24"/>
          <w:szCs w:val="24"/>
        </w:rPr>
        <w:t xml:space="preserve"> scheme described above can be extended to XR as is, but further improvements can be made to make it more suitable for the XR traffic. </w:t>
      </w:r>
    </w:p>
    <w:p w14:paraId="37FCBC31" w14:textId="77777777" w:rsidR="000F0ED3" w:rsidRPr="00EE036A" w:rsidRDefault="000F0ED3" w:rsidP="000F0ED3">
      <w:pPr>
        <w:jc w:val="both"/>
        <w:rPr>
          <w:sz w:val="24"/>
          <w:szCs w:val="24"/>
        </w:rPr>
      </w:pPr>
    </w:p>
    <w:p w14:paraId="75CC658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3D5F37E5" w14:textId="77777777" w:rsidR="000F0ED3" w:rsidRDefault="000F0ED3" w:rsidP="000F0ED3">
      <w:pPr>
        <w:jc w:val="both"/>
        <w:rPr>
          <w:sz w:val="24"/>
          <w:szCs w:val="24"/>
        </w:rPr>
      </w:pPr>
      <w:r>
        <w:rPr>
          <w:sz w:val="24"/>
          <w:szCs w:val="24"/>
        </w:rPr>
        <w:t>The specified NR-U scheme relies on a retransmission timer (</w:t>
      </w:r>
      <w:r w:rsidRPr="00202AE0">
        <w:rPr>
          <w:i/>
          <w:iCs/>
          <w:sz w:val="24"/>
          <w:szCs w:val="24"/>
        </w:rPr>
        <w:t>cg-RetransmissionTimer</w:t>
      </w:r>
      <w:r>
        <w:rPr>
          <w:sz w:val="24"/>
          <w:szCs w:val="24"/>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08F015D9" w14:textId="77777777" w:rsidR="000F0ED3" w:rsidRDefault="000F0ED3" w:rsidP="000F0ED3">
      <w:pPr>
        <w:jc w:val="both"/>
        <w:rPr>
          <w:sz w:val="24"/>
          <w:szCs w:val="24"/>
        </w:rPr>
      </w:pPr>
      <w:r>
        <w:rPr>
          <w:sz w:val="24"/>
          <w:szCs w:val="24"/>
        </w:rPr>
        <w:t xml:space="preserve">For XR and instead of the NR-U autonomous retransmission scheme (used mainly because the gNB can have difficulty acquiring a COT to send a DCI scheduling the retransmission), the </w:t>
      </w:r>
      <w:r w:rsidRPr="00336FBD">
        <w:rPr>
          <w:i/>
          <w:iCs/>
          <w:sz w:val="24"/>
          <w:szCs w:val="22"/>
          <w:lang w:eastAsia="sv-SE"/>
        </w:rPr>
        <w:t>configuredGrantTimer</w:t>
      </w:r>
      <w:r>
        <w:rPr>
          <w:sz w:val="24"/>
          <w:szCs w:val="24"/>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7D82EE82" w14:textId="77777777" w:rsidR="000F0ED3" w:rsidRPr="00BC370B" w:rsidRDefault="000F0ED3" w:rsidP="000F0ED3">
      <w:pPr>
        <w:jc w:val="both"/>
        <w:rPr>
          <w:sz w:val="24"/>
          <w:szCs w:val="24"/>
        </w:rPr>
      </w:pPr>
    </w:p>
    <w:p w14:paraId="2304F8C6"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10C88E09" w14:textId="77777777" w:rsidR="000F0ED3" w:rsidRDefault="000F0ED3" w:rsidP="000F0ED3">
      <w:pPr>
        <w:rPr>
          <w:sz w:val="24"/>
          <w:szCs w:val="24"/>
        </w:rPr>
      </w:pPr>
      <w:r w:rsidRPr="00140F65">
        <w:rPr>
          <w:sz w:val="24"/>
          <w:szCs w:val="24"/>
        </w:rPr>
        <w:t xml:space="preserve">In the legacy Configured Grant, the UE does not receive dynamic scheduling for PUSCH transmission. </w:t>
      </w:r>
      <w:r>
        <w:rPr>
          <w:sz w:val="24"/>
          <w:szCs w:val="24"/>
        </w:rPr>
        <w:t>Therefore, the</w:t>
      </w:r>
      <w:r w:rsidRPr="00140F65">
        <w:rPr>
          <w:sz w:val="24"/>
          <w:szCs w:val="24"/>
        </w:rPr>
        <w:t xml:space="preserve"> UE is required to derive the HARQ Process Number associated with each PUSCH transmission using the following formula specified in 38.321: </w:t>
      </w:r>
    </w:p>
    <w:p w14:paraId="78FDBB65" w14:textId="77777777" w:rsidR="000F0ED3" w:rsidRPr="008238E3" w:rsidRDefault="000F0ED3" w:rsidP="000F0ED3">
      <w:pPr>
        <w:pStyle w:val="para099"/>
        <w:jc w:val="center"/>
      </w:pPr>
      <w:r w:rsidRPr="008238E3">
        <w:t>HPI = [</w:t>
      </w:r>
      <w:proofErr w:type="gramStart"/>
      <w:r>
        <w:t>floor</w:t>
      </w:r>
      <w:r w:rsidRPr="008238E3">
        <w:t>(</w:t>
      </w:r>
      <w:proofErr w:type="gramEnd"/>
      <w:r>
        <w:t xml:space="preserve">CURRENT_symbol </w:t>
      </w:r>
      <w:r w:rsidRPr="008238E3">
        <w:t xml:space="preserve">/ periodicity)] </w:t>
      </w:r>
      <w:r>
        <w:t xml:space="preserve">modulo </w:t>
      </w:r>
      <w:r w:rsidRPr="008238E3">
        <w:t>nrofHARQ-Processes</w:t>
      </w:r>
    </w:p>
    <w:p w14:paraId="390B0083" w14:textId="77777777" w:rsidR="000F0ED3" w:rsidRPr="00140F65" w:rsidRDefault="000F0ED3" w:rsidP="000F0ED3">
      <w:pPr>
        <w:jc w:val="both"/>
        <w:rPr>
          <w:sz w:val="24"/>
          <w:szCs w:val="24"/>
        </w:rPr>
      </w:pPr>
      <w:r w:rsidRPr="00140F65">
        <w:rPr>
          <w:sz w:val="24"/>
          <w:szCs w:val="24"/>
        </w:rPr>
        <w:t>Where:</w:t>
      </w:r>
    </w:p>
    <w:p w14:paraId="761F6DF0" w14:textId="77777777" w:rsidR="000F0ED3" w:rsidRPr="00140F65" w:rsidRDefault="000F0ED3" w:rsidP="000F0ED3">
      <w:pPr>
        <w:jc w:val="both"/>
        <w:rPr>
          <w:sz w:val="24"/>
          <w:szCs w:val="24"/>
        </w:rPr>
      </w:pPr>
      <w:r w:rsidRPr="006C2B88">
        <w:rPr>
          <w:sz w:val="24"/>
          <w:szCs w:val="24"/>
        </w:rPr>
        <w:t xml:space="preserve">CURRENT_symbol </w:t>
      </w:r>
      <w:r w:rsidRPr="00140F65">
        <w:rPr>
          <w:sz w:val="24"/>
          <w:szCs w:val="24"/>
        </w:rPr>
        <w:t>= (SFN x SlotsPerFrame x SymbolsPerSlot) + (SlotNumber x SymbolsPerSlot) + SymbolNumber</w:t>
      </w:r>
    </w:p>
    <w:p w14:paraId="2EC993EA" w14:textId="77777777" w:rsidR="000F0ED3" w:rsidRDefault="000F0ED3" w:rsidP="000F0ED3">
      <w:pPr>
        <w:jc w:val="both"/>
        <w:rPr>
          <w:sz w:val="24"/>
          <w:szCs w:val="24"/>
        </w:rPr>
      </w:pPr>
      <w:r w:rsidRPr="00140F65">
        <w:rPr>
          <w:sz w:val="24"/>
          <w:szCs w:val="24"/>
        </w:rPr>
        <w:t xml:space="preserve">Where SymbolsPerSlot is 14 for normal CP and 12 for ECP. The SFN is the system Frame Number. SlotNumber is the slot number within which the PUSCH starts. The SymbolNumber is the symbol number at which the PUSCH starts. </w:t>
      </w:r>
    </w:p>
    <w:p w14:paraId="063C3813" w14:textId="77777777" w:rsidR="000F0ED3" w:rsidRDefault="000F0ED3" w:rsidP="000F0ED3">
      <w:pPr>
        <w:jc w:val="both"/>
        <w:rPr>
          <w:sz w:val="24"/>
          <w:szCs w:val="24"/>
        </w:rPr>
      </w:pPr>
      <w:r w:rsidRPr="00140F65">
        <w:rPr>
          <w:sz w:val="24"/>
          <w:szCs w:val="24"/>
        </w:rPr>
        <w:t xml:space="preserve">The </w:t>
      </w:r>
      <w:r>
        <w:rPr>
          <w:sz w:val="24"/>
          <w:szCs w:val="24"/>
        </w:rPr>
        <w:t>gNB</w:t>
      </w:r>
      <w:r w:rsidRPr="00140F65">
        <w:rPr>
          <w:sz w:val="24"/>
          <w:szCs w:val="24"/>
        </w:rPr>
        <w:t xml:space="preserve"> configures the UE with the number of HARQ processes and the periodicity. This is done using the </w:t>
      </w:r>
      <w:r w:rsidRPr="00140F65">
        <w:rPr>
          <w:i/>
          <w:iCs/>
          <w:sz w:val="24"/>
          <w:szCs w:val="24"/>
        </w:rPr>
        <w:t>ConfiguredGrantConfig</w:t>
      </w:r>
      <w:r w:rsidRPr="00140F65">
        <w:rPr>
          <w:sz w:val="24"/>
          <w:szCs w:val="24"/>
        </w:rPr>
        <w:t xml:space="preserve"> information. The </w:t>
      </w:r>
      <w:r>
        <w:rPr>
          <w:sz w:val="24"/>
          <w:szCs w:val="24"/>
        </w:rPr>
        <w:t>gNB</w:t>
      </w:r>
      <w:r w:rsidRPr="00140F65">
        <w:rPr>
          <w:sz w:val="24"/>
          <w:szCs w:val="24"/>
        </w:rPr>
        <w:t xml:space="preserve"> will also dynamically schedule the UE with the HARQ retransmissions for configured grants. In </w:t>
      </w:r>
      <w:r>
        <w:rPr>
          <w:sz w:val="24"/>
          <w:szCs w:val="24"/>
        </w:rPr>
        <w:t>that</w:t>
      </w:r>
      <w:r w:rsidRPr="00140F65">
        <w:rPr>
          <w:sz w:val="24"/>
          <w:szCs w:val="24"/>
        </w:rPr>
        <w:t xml:space="preserve"> case, the </w:t>
      </w:r>
      <w:r>
        <w:rPr>
          <w:sz w:val="24"/>
          <w:szCs w:val="24"/>
        </w:rPr>
        <w:t>gNB</w:t>
      </w:r>
      <w:r w:rsidRPr="00140F65">
        <w:rPr>
          <w:sz w:val="24"/>
          <w:szCs w:val="24"/>
        </w:rPr>
        <w:t xml:space="preserve"> </w:t>
      </w:r>
      <w:r>
        <w:rPr>
          <w:sz w:val="24"/>
          <w:szCs w:val="24"/>
        </w:rPr>
        <w:t>signals</w:t>
      </w:r>
      <w:r w:rsidRPr="00140F65">
        <w:rPr>
          <w:sz w:val="24"/>
          <w:szCs w:val="24"/>
        </w:rPr>
        <w:t xml:space="preserve"> the HARQ process number associated with the requested retransmission in the scheduling DCI. </w:t>
      </w:r>
    </w:p>
    <w:p w14:paraId="4F3FEFFE" w14:textId="77777777" w:rsidR="000F0ED3" w:rsidRDefault="000F0ED3" w:rsidP="000F0ED3">
      <w:pPr>
        <w:jc w:val="both"/>
        <w:rPr>
          <w:sz w:val="24"/>
          <w:szCs w:val="24"/>
        </w:rPr>
      </w:pPr>
      <w:r w:rsidRPr="00140F65">
        <w:rPr>
          <w:sz w:val="24"/>
          <w:szCs w:val="24"/>
        </w:rPr>
        <w:t xml:space="preserve">The existing formula has a limitation and cannot be applied as is for the case of multiple PUSCH occasions in the CG period as all PUSCH occasions in the same CG period will get the same HARQ Process Number. </w:t>
      </w:r>
    </w:p>
    <w:p w14:paraId="62E6BADD" w14:textId="77777777" w:rsidR="000F0ED3" w:rsidRDefault="000F0ED3" w:rsidP="000F0ED3">
      <w:pPr>
        <w:jc w:val="both"/>
        <w:rPr>
          <w:sz w:val="24"/>
          <w:szCs w:val="24"/>
        </w:rPr>
      </w:pPr>
      <w:r w:rsidRPr="00140F65">
        <w:rPr>
          <w:sz w:val="24"/>
          <w:szCs w:val="24"/>
        </w:rPr>
        <w:lastRenderedPageBreak/>
        <w:t>We propose below to adjust the legacy CG formula to take the multiple PUSCH occasions in the CG into consideration.</w:t>
      </w:r>
    </w:p>
    <w:p w14:paraId="489B9716" w14:textId="77777777" w:rsidR="000F0ED3" w:rsidRPr="00E77F8F" w:rsidRDefault="000F0ED3" w:rsidP="000F0ED3">
      <w:pPr>
        <w:jc w:val="center"/>
        <w:rPr>
          <w:rFonts w:eastAsia="Times New Roman"/>
          <w:sz w:val="24"/>
          <w:szCs w:val="24"/>
        </w:rPr>
      </w:pPr>
      <w:r>
        <w:rPr>
          <w:rFonts w:eastAsia="Times New Roman"/>
          <w:sz w:val="24"/>
          <w:szCs w:val="24"/>
        </w:rPr>
        <w:t>H</w:t>
      </w:r>
      <w:r w:rsidRPr="00E77F8F">
        <w:rPr>
          <w:rFonts w:eastAsia="Times New Roman"/>
          <w:sz w:val="24"/>
          <w:szCs w:val="24"/>
        </w:rPr>
        <w:t>PI = [N *</w:t>
      </w:r>
      <w:proofErr w:type="gramStart"/>
      <w:r w:rsidRPr="00E77F8F">
        <w:rPr>
          <w:rFonts w:eastAsia="Times New Roman"/>
          <w:sz w:val="24"/>
          <w:szCs w:val="24"/>
        </w:rPr>
        <w:t>floor( CURRENT</w:t>
      </w:r>
      <w:proofErr w:type="gramEnd"/>
      <w:r w:rsidRPr="00E77F8F">
        <w:rPr>
          <w:rFonts w:eastAsia="Times New Roman"/>
          <w:sz w:val="24"/>
          <w:szCs w:val="24"/>
        </w:rPr>
        <w:t>_symbol / periodicity)   + I ] modulo nrofHARQ-Processes</w:t>
      </w:r>
    </w:p>
    <w:p w14:paraId="140008ED" w14:textId="77777777" w:rsidR="000F0ED3" w:rsidRDefault="000F0ED3" w:rsidP="000F0ED3">
      <w:pPr>
        <w:jc w:val="both"/>
        <w:rPr>
          <w:sz w:val="24"/>
          <w:szCs w:val="24"/>
        </w:rPr>
      </w:pPr>
      <w:r w:rsidRPr="00E77F8F">
        <w:rPr>
          <w:sz w:val="24"/>
          <w:szCs w:val="24"/>
        </w:rPr>
        <w:t>where the N defines the number of PUSCH occasions in the CG period and I is the index of the PUSCH occasion in the CG period. The index I can be in the range from 0 to N.</w:t>
      </w:r>
    </w:p>
    <w:p w14:paraId="60632F15" w14:textId="77777777" w:rsidR="000F0ED3" w:rsidRDefault="000F0ED3" w:rsidP="000F0ED3">
      <w:pPr>
        <w:jc w:val="both"/>
        <w:rPr>
          <w:sz w:val="24"/>
          <w:szCs w:val="24"/>
        </w:rPr>
      </w:pPr>
    </w:p>
    <w:p w14:paraId="5812214D" w14:textId="77777777" w:rsidR="000F0ED3" w:rsidRPr="00140F65" w:rsidRDefault="000F0ED3" w:rsidP="000F0ED3">
      <w:pPr>
        <w:jc w:val="both"/>
        <w:rPr>
          <w:sz w:val="24"/>
          <w:szCs w:val="24"/>
        </w:rPr>
      </w:pPr>
      <w:r w:rsidRPr="00E77F8F">
        <w:rPr>
          <w:noProof/>
          <w:sz w:val="24"/>
          <w:szCs w:val="24"/>
        </w:rPr>
        <w:drawing>
          <wp:inline distT="0" distB="0" distL="0" distR="0" wp14:anchorId="785E003F" wp14:editId="493C77AF">
            <wp:extent cx="5943600" cy="28289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828925"/>
                    </a:xfrm>
                    <a:prstGeom prst="rect">
                      <a:avLst/>
                    </a:prstGeom>
                  </pic:spPr>
                </pic:pic>
              </a:graphicData>
            </a:graphic>
          </wp:inline>
        </w:drawing>
      </w:r>
    </w:p>
    <w:p w14:paraId="4A947DA9" w14:textId="77777777" w:rsidR="000F0ED3" w:rsidRPr="00BC370B" w:rsidRDefault="000F0ED3" w:rsidP="000F0ED3">
      <w:pPr>
        <w:jc w:val="both"/>
        <w:rPr>
          <w:sz w:val="24"/>
          <w:szCs w:val="24"/>
        </w:rPr>
      </w:pPr>
    </w:p>
    <w:p w14:paraId="3DA58B72" w14:textId="77777777" w:rsidR="000F0ED3"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55A46BBD" w14:textId="28E8DC33" w:rsidR="007B3F85" w:rsidRDefault="007B3F85" w:rsidP="000F0ED3">
      <w:pPr>
        <w:pStyle w:val="ListParagraph"/>
        <w:numPr>
          <w:ilvl w:val="0"/>
          <w:numId w:val="1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Adopt the following formula for the HARQ Process ID determination:</w:t>
      </w:r>
    </w:p>
    <w:p w14:paraId="2246EA7D" w14:textId="77777777" w:rsidR="007B3F85" w:rsidRPr="007B3F85"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HPI = [N *floor( CURRENT_symbol / periodicity)   + I ] modulo nrofHARQ-Processes</w:t>
      </w:r>
    </w:p>
    <w:p w14:paraId="2750E30A" w14:textId="159E7F47" w:rsidR="007B3F85" w:rsidRPr="00BC370B"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where the N defines the number of PUSCH occasions in the CG period and I is the index of the PUSCH occasion in the CG period.</w:t>
      </w:r>
    </w:p>
    <w:p w14:paraId="387A0A0F" w14:textId="77777777" w:rsidR="007B3F85" w:rsidRPr="007B1332" w:rsidRDefault="007B3F85" w:rsidP="007B3F85">
      <w:pPr>
        <w:pStyle w:val="ListParagraph"/>
        <w:rPr>
          <w:rFonts w:ascii="Times New Roman" w:eastAsiaTheme="minorEastAsia" w:hAnsi="Times New Roman"/>
          <w:b/>
          <w:bCs/>
          <w:i/>
          <w:iCs/>
          <w:noProof/>
          <w:sz w:val="24"/>
          <w:szCs w:val="24"/>
          <w:lang w:val="en-GB" w:eastAsia="zh-CN"/>
        </w:rPr>
      </w:pPr>
    </w:p>
    <w:p w14:paraId="3CE0A436" w14:textId="723CE062" w:rsidR="007B3F85" w:rsidRPr="005A3B77" w:rsidRDefault="007B3F85" w:rsidP="007B3F85">
      <w:pPr>
        <w:pStyle w:val="Heading1"/>
        <w:numPr>
          <w:ilvl w:val="0"/>
          <w:numId w:val="26"/>
        </w:numPr>
        <w:jc w:val="both"/>
      </w:pPr>
      <w:r>
        <w:t>Retransmission-less CG</w:t>
      </w:r>
    </w:p>
    <w:p w14:paraId="1224D876" w14:textId="120FE61D" w:rsidR="007B3F85" w:rsidRDefault="007B3F85" w:rsidP="00692C2F">
      <w:pPr>
        <w:rPr>
          <w:sz w:val="24"/>
          <w:szCs w:val="24"/>
        </w:rPr>
      </w:pPr>
      <w:r>
        <w:rPr>
          <w:sz w:val="24"/>
          <w:szCs w:val="24"/>
        </w:rPr>
        <w:t>In RAN2#121bis-e, the following agreement has been made regarding the support of retransmission-less CG:</w:t>
      </w:r>
    </w:p>
    <w:p w14:paraId="3A420307" w14:textId="77777777" w:rsidR="007B3F85" w:rsidRPr="007B3F85" w:rsidRDefault="007B3F85" w:rsidP="007B3F85">
      <w:pPr>
        <w:pStyle w:val="Agreement"/>
        <w:tabs>
          <w:tab w:val="clear" w:pos="1080"/>
          <w:tab w:val="num" w:pos="1619"/>
        </w:tabs>
        <w:ind w:left="1619"/>
        <w:rPr>
          <w:sz w:val="24"/>
        </w:rPr>
      </w:pPr>
      <w:r w:rsidRPr="007B3F85">
        <w:rPr>
          <w:sz w:val="24"/>
        </w:rPr>
        <w:t>There is support to adopt NTN solution for the retransmission-less CG.</w:t>
      </w:r>
    </w:p>
    <w:p w14:paraId="117AE8B4" w14:textId="77777777" w:rsidR="007B3F85" w:rsidRPr="007B3F85" w:rsidRDefault="007B3F85" w:rsidP="007B3F85">
      <w:pPr>
        <w:pStyle w:val="Agreement"/>
        <w:tabs>
          <w:tab w:val="clear" w:pos="1080"/>
          <w:tab w:val="num" w:pos="1619"/>
        </w:tabs>
        <w:ind w:left="1619"/>
        <w:rPr>
          <w:sz w:val="24"/>
        </w:rPr>
      </w:pPr>
      <w:r w:rsidRPr="007B3F85">
        <w:rPr>
          <w:sz w:val="24"/>
        </w:rPr>
        <w:t>If adopted, RAN2 aims to only consider option1 or option 2:</w:t>
      </w:r>
    </w:p>
    <w:p w14:paraId="333E0DF8" w14:textId="77777777" w:rsidR="007B3F85" w:rsidRPr="007B3F85" w:rsidRDefault="007B3F85" w:rsidP="007B3F85">
      <w:pPr>
        <w:pStyle w:val="Agreement"/>
        <w:numPr>
          <w:ilvl w:val="0"/>
          <w:numId w:val="0"/>
        </w:numPr>
        <w:ind w:left="1619"/>
        <w:rPr>
          <w:sz w:val="24"/>
        </w:rPr>
      </w:pPr>
      <w:r w:rsidRPr="007B3F85">
        <w:rPr>
          <w:sz w:val="24"/>
        </w:rPr>
        <w:t xml:space="preserve">Option1: Adapt the NTN solution by disabling the HARQ RTT timer per CG configuration for CG. </w:t>
      </w:r>
    </w:p>
    <w:p w14:paraId="6EAAAEFE" w14:textId="77777777" w:rsidR="007B3F85" w:rsidRPr="007B3F85" w:rsidRDefault="007B3F85" w:rsidP="007B3F85">
      <w:pPr>
        <w:pStyle w:val="Agreement"/>
        <w:numPr>
          <w:ilvl w:val="0"/>
          <w:numId w:val="0"/>
        </w:numPr>
        <w:ind w:left="1619"/>
        <w:rPr>
          <w:sz w:val="24"/>
        </w:rPr>
      </w:pPr>
      <w:r w:rsidRPr="007B3F85">
        <w:rPr>
          <w:sz w:val="24"/>
        </w:rPr>
        <w:lastRenderedPageBreak/>
        <w:t xml:space="preserve">Option2: Adapt the NTN solution by disabling the HARQ RTT timer per HARQ processes for both CG and DG. </w:t>
      </w:r>
    </w:p>
    <w:p w14:paraId="2508468D" w14:textId="77777777" w:rsidR="007B3F85" w:rsidRPr="007B3F85" w:rsidRDefault="007B3F85" w:rsidP="007B3F85">
      <w:pPr>
        <w:pStyle w:val="Agreement"/>
        <w:tabs>
          <w:tab w:val="clear" w:pos="1080"/>
          <w:tab w:val="num" w:pos="1619"/>
        </w:tabs>
        <w:ind w:left="1619"/>
        <w:rPr>
          <w:sz w:val="24"/>
        </w:rPr>
      </w:pPr>
      <w:r w:rsidRPr="007B3F85">
        <w:rPr>
          <w:sz w:val="24"/>
        </w:rPr>
        <w:t>FFS how the solution ensures consistent HARQ operation.</w:t>
      </w:r>
    </w:p>
    <w:p w14:paraId="1542AF0B" w14:textId="77777777" w:rsidR="007B3F85" w:rsidRDefault="007B3F85" w:rsidP="00692C2F">
      <w:pPr>
        <w:rPr>
          <w:sz w:val="24"/>
          <w:szCs w:val="24"/>
        </w:rPr>
      </w:pPr>
    </w:p>
    <w:p w14:paraId="00FF0C59" w14:textId="47DF7B49" w:rsidR="007B3F85" w:rsidRDefault="007B3F85" w:rsidP="007B3F85">
      <w:pPr>
        <w:jc w:val="both"/>
        <w:rPr>
          <w:sz w:val="24"/>
          <w:szCs w:val="24"/>
        </w:rPr>
      </w:pPr>
      <w:r>
        <w:rPr>
          <w:sz w:val="24"/>
          <w:szCs w:val="24"/>
        </w:rPr>
        <w:t xml:space="preserve">In the two proposed options in the agreement above, option 1 suggests to disable the HARQ RTT timer for CG while option 2 extends the change to DG as well in addition to CG. Also, regarding the granularity, Option 1 is applied per CG configuration, while option 2 is applied per HARQ process. </w:t>
      </w:r>
    </w:p>
    <w:p w14:paraId="4253FC39" w14:textId="14179D74" w:rsidR="007B3F85" w:rsidRDefault="007B3F85" w:rsidP="007B3F85">
      <w:pPr>
        <w:jc w:val="both"/>
        <w:rPr>
          <w:sz w:val="24"/>
          <w:szCs w:val="24"/>
        </w:rPr>
      </w:pPr>
      <w:r>
        <w:rPr>
          <w:sz w:val="24"/>
          <w:szCs w:val="24"/>
        </w:rPr>
        <w:t xml:space="preserve">We support Option 1 and we think that the enhancements discussed are mainly for XR Pose/Control information which will be relying on the CG configuration. Hence, there is no need to extend this enhancement to DG. Also, the network should be given the flexibility to still re-schedule a retransmission using DG during the DRX On-Duration for Pose/Control information when needed as the UE is monitoring PDCCH anyway during the DRX On-Duration. </w:t>
      </w:r>
    </w:p>
    <w:p w14:paraId="22419E4F" w14:textId="77777777" w:rsidR="007B3F85" w:rsidRPr="00BC370B" w:rsidRDefault="007B3F85" w:rsidP="007B3F85">
      <w:pPr>
        <w:jc w:val="both"/>
        <w:rPr>
          <w:sz w:val="24"/>
          <w:szCs w:val="24"/>
        </w:rPr>
      </w:pPr>
    </w:p>
    <w:p w14:paraId="4A62F33F" w14:textId="16547DD2" w:rsidR="007B3F85" w:rsidRDefault="007B3F85" w:rsidP="007B3F85">
      <w:pPr>
        <w:pStyle w:val="ListParagraph"/>
        <w:numPr>
          <w:ilvl w:val="0"/>
          <w:numId w:val="38"/>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For retransmission-less CG, adopt option 1:</w:t>
      </w:r>
    </w:p>
    <w:p w14:paraId="330EE232" w14:textId="2857FE8C" w:rsidR="007B3F85" w:rsidRPr="00BC370B" w:rsidRDefault="007B3F85" w:rsidP="007B3F85">
      <w:pPr>
        <w:pStyle w:val="ListParagraph"/>
        <w:numPr>
          <w:ilvl w:val="0"/>
          <w:numId w:val="39"/>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Adapt the NTN solution by disabling the HARQ RTT timer per CG configuration for CG.</w:t>
      </w:r>
    </w:p>
    <w:p w14:paraId="4F44ECEA" w14:textId="77777777" w:rsidR="007B3F85" w:rsidRPr="00BD2577" w:rsidRDefault="007B3F85" w:rsidP="007B3F85">
      <w:pPr>
        <w:jc w:val="both"/>
        <w:rPr>
          <w:sz w:val="24"/>
          <w:szCs w:val="24"/>
        </w:rPr>
      </w:pPr>
    </w:p>
    <w:p w14:paraId="14A40051" w14:textId="77777777" w:rsidR="000F0ED3" w:rsidRPr="00072936" w:rsidRDefault="000F0ED3" w:rsidP="000F0ED3">
      <w:pPr>
        <w:pStyle w:val="Heading1"/>
        <w:jc w:val="both"/>
        <w:rPr>
          <w:lang w:val="en-US"/>
        </w:rPr>
      </w:pPr>
      <w:r w:rsidRPr="00072936">
        <w:rPr>
          <w:lang w:val="en-US"/>
        </w:rPr>
        <w:t>Conclusion</w:t>
      </w:r>
    </w:p>
    <w:p w14:paraId="72ACE210" w14:textId="00554120" w:rsidR="000F0ED3" w:rsidRPr="00EE036A" w:rsidRDefault="000F0ED3" w:rsidP="000F0ED3">
      <w:pPr>
        <w:spacing w:after="120"/>
        <w:jc w:val="both"/>
        <w:textAlignment w:val="center"/>
        <w:rPr>
          <w:sz w:val="24"/>
          <w:szCs w:val="24"/>
        </w:rPr>
      </w:pPr>
      <w:r w:rsidRPr="00EE036A">
        <w:rPr>
          <w:sz w:val="24"/>
          <w:szCs w:val="24"/>
        </w:rPr>
        <w:t xml:space="preserve">In this contribution, we have presented several </w:t>
      </w:r>
      <w:r>
        <w:rPr>
          <w:sz w:val="24"/>
          <w:szCs w:val="24"/>
        </w:rPr>
        <w:t xml:space="preserve">proposals </w:t>
      </w:r>
      <w:r w:rsidR="00183242">
        <w:rPr>
          <w:sz w:val="24"/>
          <w:szCs w:val="24"/>
        </w:rPr>
        <w:t xml:space="preserve">for the </w:t>
      </w:r>
      <w:r w:rsidR="007B3F85">
        <w:rPr>
          <w:rFonts w:eastAsia="Times New Roman"/>
          <w:color w:val="000000" w:themeColor="text1"/>
          <w:sz w:val="24"/>
          <w:szCs w:val="24"/>
          <w:lang w:val="en-US"/>
        </w:rPr>
        <w:t>configured enhancements to support the XR traffic:</w:t>
      </w:r>
    </w:p>
    <w:p w14:paraId="2137B4D4" w14:textId="77777777" w:rsidR="007B3F85" w:rsidRPr="00EE036A" w:rsidRDefault="007B3F85" w:rsidP="007B3F85">
      <w:pPr>
        <w:jc w:val="both"/>
        <w:rPr>
          <w:sz w:val="24"/>
          <w:szCs w:val="24"/>
        </w:rPr>
      </w:pPr>
    </w:p>
    <w:p w14:paraId="19D3849B" w14:textId="04ADE4E3" w:rsidR="007B3F85" w:rsidRPr="007B3F85" w:rsidRDefault="007B3F85" w:rsidP="007B3F85">
      <w:pPr>
        <w:pStyle w:val="ListParagraph"/>
        <w:numPr>
          <w:ilvl w:val="0"/>
          <w:numId w:val="4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38936631" w14:textId="402E9F61" w:rsidR="007B3F85" w:rsidRPr="007B3F85" w:rsidRDefault="007B3F85" w:rsidP="007B3F85">
      <w:pPr>
        <w:pStyle w:val="ListParagraph"/>
        <w:numPr>
          <w:ilvl w:val="0"/>
          <w:numId w:val="4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4765D849" w14:textId="5E528DA4" w:rsidR="007B3F85" w:rsidRDefault="007B3F85" w:rsidP="007B3F85">
      <w:pPr>
        <w:pStyle w:val="ListParagraph"/>
        <w:numPr>
          <w:ilvl w:val="0"/>
          <w:numId w:val="4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4A3C23DF" w14:textId="77777777" w:rsidR="007B3F85" w:rsidRDefault="007B3F85" w:rsidP="007B3F85">
      <w:pPr>
        <w:pStyle w:val="ListParagraph"/>
        <w:numPr>
          <w:ilvl w:val="0"/>
          <w:numId w:val="41"/>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Adopt the following formula for the HARQ Process ID determination:</w:t>
      </w:r>
    </w:p>
    <w:p w14:paraId="0038FE41" w14:textId="77777777" w:rsidR="007B3F85" w:rsidRPr="007B3F85"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HPI = [N *floor( CURRENT_symbol / periodicity)   + I ] modulo nrofHARQ-Processes</w:t>
      </w:r>
    </w:p>
    <w:p w14:paraId="024C7549" w14:textId="7B4260BD" w:rsidR="007B3F85" w:rsidRPr="007B3F85" w:rsidRDefault="007B3F85" w:rsidP="007B3F85">
      <w:pPr>
        <w:pStyle w:val="ListParagraph"/>
        <w:numPr>
          <w:ilvl w:val="0"/>
          <w:numId w:val="43"/>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where the N defines the number of PUSCH occasions in the CG period and I is the index of the PUSCH occasion in the CG period</w:t>
      </w:r>
    </w:p>
    <w:p w14:paraId="29274E33" w14:textId="77777777" w:rsidR="007B3F85" w:rsidRDefault="007B3F85" w:rsidP="007B3F85">
      <w:pPr>
        <w:pStyle w:val="ListParagraph"/>
        <w:numPr>
          <w:ilvl w:val="0"/>
          <w:numId w:val="41"/>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For retransmission-less CG, adopt option 1:</w:t>
      </w:r>
    </w:p>
    <w:p w14:paraId="63EFC0A9" w14:textId="77777777" w:rsidR="007B3F85" w:rsidRPr="00BC370B" w:rsidRDefault="007B3F85" w:rsidP="007B3F85">
      <w:pPr>
        <w:pStyle w:val="ListParagraph"/>
        <w:numPr>
          <w:ilvl w:val="0"/>
          <w:numId w:val="39"/>
        </w:numPr>
        <w:rPr>
          <w:rFonts w:ascii="Times New Roman" w:eastAsiaTheme="minorEastAsia" w:hAnsi="Times New Roman"/>
          <w:b/>
          <w:bCs/>
          <w:i/>
          <w:iCs/>
          <w:noProof/>
          <w:sz w:val="24"/>
          <w:szCs w:val="24"/>
          <w:lang w:val="en-GB" w:eastAsia="zh-CN"/>
        </w:rPr>
      </w:pPr>
      <w:r w:rsidRPr="007B3F85">
        <w:rPr>
          <w:rFonts w:ascii="Times New Roman" w:eastAsiaTheme="minorEastAsia" w:hAnsi="Times New Roman"/>
          <w:b/>
          <w:bCs/>
          <w:i/>
          <w:iCs/>
          <w:noProof/>
          <w:sz w:val="24"/>
          <w:szCs w:val="24"/>
          <w:lang w:val="en-GB" w:eastAsia="zh-CN"/>
        </w:rPr>
        <w:t>Adapt the NTN solution by disabling the HARQ RTT timer per CG configuration for CG.</w:t>
      </w:r>
    </w:p>
    <w:p w14:paraId="1BAB46C1" w14:textId="77777777" w:rsidR="000F0ED3" w:rsidRPr="007B3F85" w:rsidRDefault="000F0ED3" w:rsidP="007B3F85">
      <w:pPr>
        <w:rPr>
          <w:rFonts w:eastAsiaTheme="minorEastAsia"/>
          <w:b/>
          <w:bCs/>
          <w:i/>
          <w:iCs/>
          <w:noProof/>
          <w:lang w:eastAsia="zh-CN"/>
        </w:rPr>
      </w:pPr>
    </w:p>
    <w:p w14:paraId="14C6177C" w14:textId="77777777" w:rsidR="000F0ED3" w:rsidRPr="00072936" w:rsidRDefault="000F0ED3" w:rsidP="000F0ED3">
      <w:pPr>
        <w:pStyle w:val="Heading1"/>
        <w:jc w:val="both"/>
        <w:rPr>
          <w:lang w:val="en-US"/>
        </w:rPr>
      </w:pPr>
      <w:r w:rsidRPr="00072936">
        <w:rPr>
          <w:rFonts w:hint="eastAsia"/>
          <w:lang w:val="en-US"/>
        </w:rPr>
        <w:lastRenderedPageBreak/>
        <w:t>References</w:t>
      </w:r>
    </w:p>
    <w:p w14:paraId="0E7F9A76" w14:textId="45BF97F0" w:rsidR="000F0ED3" w:rsidRDefault="000F0ED3" w:rsidP="000F0ED3">
      <w:pPr>
        <w:pStyle w:val="References"/>
        <w:numPr>
          <w:ilvl w:val="0"/>
          <w:numId w:val="16"/>
        </w:numPr>
        <w:autoSpaceDE w:val="0"/>
        <w:autoSpaceDN w:val="0"/>
        <w:snapToGrid w:val="0"/>
        <w:spacing w:after="60"/>
        <w:jc w:val="both"/>
        <w:rPr>
          <w:sz w:val="24"/>
        </w:rPr>
      </w:pPr>
      <w:bookmarkStart w:id="0"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0"/>
    </w:p>
    <w:p w14:paraId="1B98649F" w14:textId="77777777" w:rsidR="00EE1915" w:rsidRPr="00C67A93" w:rsidRDefault="00EE1915" w:rsidP="00EE1915">
      <w:pPr>
        <w:pStyle w:val="ZT"/>
        <w:framePr w:wrap="auto" w:hAnchor="text" w:yAlign="inline"/>
        <w:numPr>
          <w:ilvl w:val="0"/>
          <w:numId w:val="16"/>
        </w:numPr>
        <w:jc w:val="left"/>
        <w:rPr>
          <w:rFonts w:ascii="Times New Roman" w:hAnsi="Times New Roman"/>
          <w:b w:val="0"/>
          <w:sz w:val="24"/>
          <w:szCs w:val="24"/>
        </w:rPr>
      </w:pPr>
      <w:bookmarkStart w:id="1" w:name="_Ref126595492"/>
      <w:r w:rsidRPr="00C67A93">
        <w:rPr>
          <w:rFonts w:ascii="Times New Roman" w:hAnsi="Times New Roman"/>
          <w:b w:val="0"/>
          <w:sz w:val="24"/>
          <w:szCs w:val="24"/>
        </w:rPr>
        <w:t xml:space="preserve">3GPP </w:t>
      </w:r>
      <w:bookmarkStart w:id="2" w:name="specType1"/>
      <w:r w:rsidRPr="00C67A93">
        <w:rPr>
          <w:rFonts w:ascii="Times New Roman" w:hAnsi="Times New Roman"/>
          <w:b w:val="0"/>
          <w:sz w:val="24"/>
          <w:szCs w:val="24"/>
        </w:rPr>
        <w:t>TR</w:t>
      </w:r>
      <w:bookmarkEnd w:id="2"/>
      <w:r w:rsidRPr="00C67A93">
        <w:rPr>
          <w:rFonts w:ascii="Times New Roman" w:hAnsi="Times New Roman"/>
          <w:b w:val="0"/>
          <w:sz w:val="24"/>
          <w:szCs w:val="24"/>
        </w:rPr>
        <w:t xml:space="preserve"> </w:t>
      </w:r>
      <w:bookmarkStart w:id="3" w:name="specNumber"/>
      <w:r w:rsidRPr="00C67A93">
        <w:rPr>
          <w:rFonts w:ascii="Times New Roman" w:hAnsi="Times New Roman"/>
          <w:b w:val="0"/>
          <w:sz w:val="24"/>
          <w:szCs w:val="24"/>
        </w:rPr>
        <w:t>38.</w:t>
      </w:r>
      <w:bookmarkEnd w:id="3"/>
      <w:r w:rsidRPr="00C67A93">
        <w:rPr>
          <w:rFonts w:ascii="Times New Roman" w:hAnsi="Times New Roman"/>
          <w:b w:val="0"/>
          <w:sz w:val="24"/>
          <w:szCs w:val="24"/>
        </w:rPr>
        <w:t>838 V</w:t>
      </w:r>
      <w:bookmarkStart w:id="4" w:name="specVersion"/>
      <w:r w:rsidRPr="00C67A93">
        <w:rPr>
          <w:rFonts w:ascii="Times New Roman" w:hAnsi="Times New Roman"/>
          <w:b w:val="0"/>
          <w:sz w:val="24"/>
          <w:szCs w:val="24"/>
        </w:rPr>
        <w:t>17.0.0</w:t>
      </w:r>
      <w:bookmarkEnd w:id="4"/>
      <w:r w:rsidRPr="00C67A93">
        <w:rPr>
          <w:rFonts w:ascii="Times New Roman" w:hAnsi="Times New Roman"/>
          <w:b w:val="0"/>
          <w:sz w:val="24"/>
          <w:szCs w:val="24"/>
        </w:rPr>
        <w:t xml:space="preserve"> (</w:t>
      </w:r>
      <w:bookmarkStart w:id="5" w:name="issueDate"/>
      <w:r w:rsidRPr="00C67A93">
        <w:rPr>
          <w:rFonts w:ascii="Times New Roman" w:hAnsi="Times New Roman"/>
          <w:b w:val="0"/>
          <w:sz w:val="24"/>
          <w:szCs w:val="24"/>
        </w:rPr>
        <w:t>2021-</w:t>
      </w:r>
      <w:bookmarkEnd w:id="5"/>
      <w:r w:rsidRPr="00C67A93">
        <w:rPr>
          <w:rFonts w:ascii="Times New Roman" w:hAnsi="Times New Roman"/>
          <w:b w:val="0"/>
          <w:sz w:val="24"/>
          <w:szCs w:val="24"/>
        </w:rPr>
        <w:t xml:space="preserve">12) Study on XR (Extended Reality) Evaluations for NR (Release </w:t>
      </w:r>
      <w:bookmarkStart w:id="6" w:name="specRelease"/>
      <w:r w:rsidRPr="00C67A93">
        <w:rPr>
          <w:rFonts w:ascii="Times New Roman" w:hAnsi="Times New Roman"/>
          <w:b w:val="0"/>
          <w:sz w:val="24"/>
          <w:szCs w:val="24"/>
        </w:rPr>
        <w:t>17</w:t>
      </w:r>
      <w:bookmarkEnd w:id="6"/>
      <w:r w:rsidRPr="00C67A93">
        <w:rPr>
          <w:rFonts w:ascii="Times New Roman" w:hAnsi="Times New Roman"/>
          <w:b w:val="0"/>
          <w:sz w:val="24"/>
          <w:szCs w:val="24"/>
        </w:rPr>
        <w:t>)</w:t>
      </w:r>
      <w:bookmarkEnd w:id="1"/>
    </w:p>
    <w:p w14:paraId="6234B88A" w14:textId="77777777" w:rsidR="00EE1915" w:rsidRPr="006363B9" w:rsidRDefault="00EE1915" w:rsidP="00EE1915">
      <w:pPr>
        <w:pStyle w:val="References"/>
        <w:numPr>
          <w:ilvl w:val="0"/>
          <w:numId w:val="0"/>
        </w:numPr>
        <w:autoSpaceDE w:val="0"/>
        <w:autoSpaceDN w:val="0"/>
        <w:snapToGrid w:val="0"/>
        <w:spacing w:after="60"/>
        <w:ind w:left="360"/>
        <w:jc w:val="both"/>
        <w:rPr>
          <w:sz w:val="24"/>
        </w:rPr>
      </w:pPr>
    </w:p>
    <w:p w14:paraId="50554D00" w14:textId="77777777" w:rsidR="000F0ED3" w:rsidRPr="00331E7B" w:rsidRDefault="000F0ED3" w:rsidP="000F0ED3">
      <w:pPr>
        <w:pStyle w:val="References"/>
        <w:numPr>
          <w:ilvl w:val="0"/>
          <w:numId w:val="0"/>
        </w:numPr>
        <w:autoSpaceDE w:val="0"/>
        <w:autoSpaceDN w:val="0"/>
        <w:snapToGrid w:val="0"/>
        <w:spacing w:after="60"/>
        <w:ind w:left="360"/>
        <w:jc w:val="both"/>
        <w:rPr>
          <w:sz w:val="24"/>
          <w:lang w:eastAsia="zh-CN"/>
        </w:rPr>
      </w:pPr>
    </w:p>
    <w:p w14:paraId="7377D250"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6CC34AE"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730DED85" w14:textId="77777777" w:rsidR="000F0ED3" w:rsidRPr="006363B9" w:rsidRDefault="000F0ED3" w:rsidP="000F0ED3">
      <w:pPr>
        <w:pStyle w:val="Caption"/>
        <w:jc w:val="center"/>
        <w:rPr>
          <w:rFonts w:eastAsia="Times New Roman"/>
          <w:i w:val="0"/>
          <w:iCs w:val="0"/>
          <w:color w:val="auto"/>
          <w:sz w:val="24"/>
          <w:szCs w:val="24"/>
          <w:lang w:val="en-US" w:eastAsia="zh-CN"/>
        </w:rPr>
      </w:pPr>
    </w:p>
    <w:p w14:paraId="1C7EADCD" w14:textId="033E68FD" w:rsidR="00C32F92" w:rsidRDefault="00C32F92" w:rsidP="00F75047">
      <w:pPr>
        <w:ind w:left="1080" w:hanging="1080"/>
        <w:rPr>
          <w:b/>
          <w:color w:val="000000"/>
        </w:rPr>
      </w:pPr>
    </w:p>
    <w:sectPr w:rsidR="00C32F92">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3F99" w14:textId="77777777" w:rsidR="00B45B1B" w:rsidRDefault="00B45B1B">
      <w:pPr>
        <w:spacing w:after="0"/>
      </w:pPr>
      <w:r>
        <w:separator/>
      </w:r>
    </w:p>
  </w:endnote>
  <w:endnote w:type="continuationSeparator" w:id="0">
    <w:p w14:paraId="7CDB457D" w14:textId="77777777" w:rsidR="00B45B1B" w:rsidRDefault="00B45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7444" w14:textId="77777777" w:rsidR="00B45B1B" w:rsidRDefault="00B45B1B">
      <w:pPr>
        <w:spacing w:after="0"/>
      </w:pPr>
      <w:r>
        <w:separator/>
      </w:r>
    </w:p>
  </w:footnote>
  <w:footnote w:type="continuationSeparator" w:id="0">
    <w:p w14:paraId="016A85AB" w14:textId="77777777" w:rsidR="00B45B1B" w:rsidRDefault="00B45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6A3AB1AE"/>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E10ECD"/>
    <w:multiLevelType w:val="multilevel"/>
    <w:tmpl w:val="842AA886"/>
    <w:styleLink w:val="CurrentList8"/>
    <w:lvl w:ilvl="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2C10BDA"/>
    <w:multiLevelType w:val="multilevel"/>
    <w:tmpl w:val="CDD0597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4"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555D2B"/>
    <w:multiLevelType w:val="hybridMultilevel"/>
    <w:tmpl w:val="9F5E67B2"/>
    <w:lvl w:ilvl="0" w:tplc="D25CA8E2">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8" w15:restartNumberingAfterBreak="0">
    <w:nsid w:val="35D27D3C"/>
    <w:multiLevelType w:val="hybridMultilevel"/>
    <w:tmpl w:val="5C06E2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6D40136"/>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882D51"/>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705A51"/>
    <w:multiLevelType w:val="hybridMultilevel"/>
    <w:tmpl w:val="249021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9378CF"/>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7" w15:restartNumberingAfterBreak="0">
    <w:nsid w:val="66D264BF"/>
    <w:multiLevelType w:val="hybridMultilevel"/>
    <w:tmpl w:val="200A80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3D7FAF"/>
    <w:multiLevelType w:val="hybridMultilevel"/>
    <w:tmpl w:val="D6761CA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F80B33"/>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42"/>
  </w:num>
  <w:num w:numId="2" w16cid:durableId="498429465">
    <w:abstractNumId w:val="36"/>
  </w:num>
  <w:num w:numId="3" w16cid:durableId="927738022">
    <w:abstractNumId w:val="44"/>
  </w:num>
  <w:num w:numId="4" w16cid:durableId="671421613">
    <w:abstractNumId w:val="38"/>
  </w:num>
  <w:num w:numId="5" w16cid:durableId="1318925413">
    <w:abstractNumId w:val="19"/>
  </w:num>
  <w:num w:numId="6" w16cid:durableId="558713174">
    <w:abstractNumId w:val="43"/>
  </w:num>
  <w:num w:numId="7" w16cid:durableId="971256338">
    <w:abstractNumId w:val="1"/>
  </w:num>
  <w:num w:numId="8" w16cid:durableId="1479806172">
    <w:abstractNumId w:val="23"/>
  </w:num>
  <w:num w:numId="9" w16cid:durableId="125632541">
    <w:abstractNumId w:val="45"/>
  </w:num>
  <w:num w:numId="10" w16cid:durableId="1345984514">
    <w:abstractNumId w:val="35"/>
  </w:num>
  <w:num w:numId="11" w16cid:durableId="970478479">
    <w:abstractNumId w:val="34"/>
  </w:num>
  <w:num w:numId="12" w16cid:durableId="846555480">
    <w:abstractNumId w:val="9"/>
  </w:num>
  <w:num w:numId="13" w16cid:durableId="998001052">
    <w:abstractNumId w:val="17"/>
  </w:num>
  <w:num w:numId="14" w16cid:durableId="212545312">
    <w:abstractNumId w:val="41"/>
  </w:num>
  <w:num w:numId="15" w16cid:durableId="1230573026">
    <w:abstractNumId w:val="0"/>
  </w:num>
  <w:num w:numId="16" w16cid:durableId="1386367772">
    <w:abstractNumId w:val="21"/>
  </w:num>
  <w:num w:numId="17" w16cid:durableId="1127046410">
    <w:abstractNumId w:val="37"/>
  </w:num>
  <w:num w:numId="18" w16cid:durableId="121726730">
    <w:abstractNumId w:val="5"/>
  </w:num>
  <w:num w:numId="19" w16cid:durableId="689070834">
    <w:abstractNumId w:val="3"/>
  </w:num>
  <w:num w:numId="20" w16cid:durableId="1021468781">
    <w:abstractNumId w:val="7"/>
  </w:num>
  <w:num w:numId="21" w16cid:durableId="93788577">
    <w:abstractNumId w:val="25"/>
  </w:num>
  <w:num w:numId="22" w16cid:durableId="1512646204">
    <w:abstractNumId w:val="20"/>
  </w:num>
  <w:num w:numId="23" w16cid:durableId="2081294873">
    <w:abstractNumId w:val="10"/>
  </w:num>
  <w:num w:numId="24" w16cid:durableId="1100494042">
    <w:abstractNumId w:val="30"/>
  </w:num>
  <w:num w:numId="25" w16cid:durableId="1020550619">
    <w:abstractNumId w:val="33"/>
  </w:num>
  <w:num w:numId="26" w16cid:durableId="2128429452">
    <w:abstractNumId w:val="29"/>
  </w:num>
  <w:num w:numId="27" w16cid:durableId="551698567">
    <w:abstractNumId w:val="28"/>
  </w:num>
  <w:num w:numId="28" w16cid:durableId="218169672">
    <w:abstractNumId w:val="14"/>
  </w:num>
  <w:num w:numId="29" w16cid:durableId="537664303">
    <w:abstractNumId w:val="6"/>
  </w:num>
  <w:num w:numId="30" w16cid:durableId="715661889">
    <w:abstractNumId w:val="13"/>
  </w:num>
  <w:num w:numId="31" w16cid:durableId="245186404">
    <w:abstractNumId w:val="15"/>
  </w:num>
  <w:num w:numId="32" w16cid:durableId="439496921">
    <w:abstractNumId w:val="4"/>
  </w:num>
  <w:num w:numId="33" w16cid:durableId="1817380924">
    <w:abstractNumId w:val="31"/>
  </w:num>
  <w:num w:numId="34" w16cid:durableId="965311978">
    <w:abstractNumId w:val="2"/>
  </w:num>
  <w:num w:numId="35" w16cid:durableId="942612233">
    <w:abstractNumId w:val="12"/>
  </w:num>
  <w:num w:numId="36" w16cid:durableId="1726563836">
    <w:abstractNumId w:val="22"/>
  </w:num>
  <w:num w:numId="37" w16cid:durableId="1606230162">
    <w:abstractNumId w:val="32"/>
  </w:num>
  <w:num w:numId="38" w16cid:durableId="1979073256">
    <w:abstractNumId w:val="16"/>
  </w:num>
  <w:num w:numId="39" w16cid:durableId="476844544">
    <w:abstractNumId w:val="27"/>
  </w:num>
  <w:num w:numId="40" w16cid:durableId="1286042011">
    <w:abstractNumId w:val="11"/>
  </w:num>
  <w:num w:numId="41" w16cid:durableId="589436039">
    <w:abstractNumId w:val="39"/>
  </w:num>
  <w:num w:numId="42" w16cid:durableId="1184857856">
    <w:abstractNumId w:val="26"/>
  </w:num>
  <w:num w:numId="43" w16cid:durableId="199782285">
    <w:abstractNumId w:val="18"/>
  </w:num>
  <w:num w:numId="44" w16cid:durableId="323819283">
    <w:abstractNumId w:val="8"/>
  </w:num>
  <w:num w:numId="45" w16cid:durableId="1186478172">
    <w:abstractNumId w:val="40"/>
  </w:num>
  <w:num w:numId="46" w16cid:durableId="7300779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3E7F"/>
    <w:rsid w:val="00074744"/>
    <w:rsid w:val="00074C20"/>
    <w:rsid w:val="00085ABC"/>
    <w:rsid w:val="00090199"/>
    <w:rsid w:val="000955E7"/>
    <w:rsid w:val="000975EC"/>
    <w:rsid w:val="00097F8E"/>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0ED3"/>
    <w:rsid w:val="000F1560"/>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11D"/>
    <w:rsid w:val="001C53D9"/>
    <w:rsid w:val="001D2BD5"/>
    <w:rsid w:val="001E01E2"/>
    <w:rsid w:val="001E0BE7"/>
    <w:rsid w:val="001E6FB8"/>
    <w:rsid w:val="001E7EB2"/>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03D3B"/>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14A4"/>
    <w:rsid w:val="004A44C9"/>
    <w:rsid w:val="004A75A2"/>
    <w:rsid w:val="004B0A05"/>
    <w:rsid w:val="004B0A14"/>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243D7"/>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02B9"/>
    <w:rsid w:val="005C31BB"/>
    <w:rsid w:val="005C3B38"/>
    <w:rsid w:val="005C4B87"/>
    <w:rsid w:val="005D113A"/>
    <w:rsid w:val="005D2384"/>
    <w:rsid w:val="005D2BE0"/>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58EE"/>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0016"/>
    <w:rsid w:val="00692C2F"/>
    <w:rsid w:val="00696F77"/>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1332"/>
    <w:rsid w:val="007B3F85"/>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2513"/>
    <w:rsid w:val="00983C38"/>
    <w:rsid w:val="00984085"/>
    <w:rsid w:val="0098540C"/>
    <w:rsid w:val="00992AC8"/>
    <w:rsid w:val="009949EE"/>
    <w:rsid w:val="009974D9"/>
    <w:rsid w:val="00997925"/>
    <w:rsid w:val="009A0872"/>
    <w:rsid w:val="009A2387"/>
    <w:rsid w:val="009A5D90"/>
    <w:rsid w:val="009B07C6"/>
    <w:rsid w:val="009B53D7"/>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06301"/>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009F"/>
    <w:rsid w:val="00B23A15"/>
    <w:rsid w:val="00B26FF2"/>
    <w:rsid w:val="00B30804"/>
    <w:rsid w:val="00B3299A"/>
    <w:rsid w:val="00B34C7F"/>
    <w:rsid w:val="00B41963"/>
    <w:rsid w:val="00B45B1B"/>
    <w:rsid w:val="00B45C3E"/>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D5387"/>
    <w:rsid w:val="00BE1AF6"/>
    <w:rsid w:val="00BF4038"/>
    <w:rsid w:val="00BF613A"/>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6433A"/>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518B"/>
    <w:rsid w:val="00CE6337"/>
    <w:rsid w:val="00CE7329"/>
    <w:rsid w:val="00CF0ED0"/>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36A4"/>
    <w:rsid w:val="00FE5BE8"/>
    <w:rsid w:val="00FE6668"/>
    <w:rsid w:val="00FE6AFD"/>
    <w:rsid w:val="00FE7D67"/>
    <w:rsid w:val="00FF220F"/>
    <w:rsid w:val="00FF2277"/>
    <w:rsid w:val="00FF2686"/>
    <w:rsid w:val="00FF5E05"/>
    <w:rsid w:val="00FF6AA9"/>
    <w:rsid w:val="00FF78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 w:type="numbering" w:customStyle="1" w:styleId="CurrentList7">
    <w:name w:val="Current List7"/>
    <w:uiPriority w:val="99"/>
    <w:rsid w:val="007B3F85"/>
    <w:pPr>
      <w:numPr>
        <w:numId w:val="40"/>
      </w:numPr>
    </w:pPr>
  </w:style>
  <w:style w:type="numbering" w:customStyle="1" w:styleId="CurrentList8">
    <w:name w:val="Current List8"/>
    <w:uiPriority w:val="99"/>
    <w:rsid w:val="007B3F8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3</cp:revision>
  <dcterms:created xsi:type="dcterms:W3CDTF">2023-05-11T10:56:00Z</dcterms:created>
  <dcterms:modified xsi:type="dcterms:W3CDTF">2023-05-12T08:23:00Z</dcterms:modified>
</cp:coreProperties>
</file>